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tabs>
          <w:tab w:val="right" w:pos="9000"/>
        </w:tabs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Adverse Event Form</w:t>
        <w:tab/>
        <w:t xml:space="preserve">AE ID #: 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4"/>
        <w:tblGridChange w:id="0">
          <w:tblGrid>
            <w:gridCol w:w="4513"/>
            <w:gridCol w:w="4514"/>
          </w:tblGrid>
        </w:tblGridChange>
      </w:tblGrid>
      <w:tr>
        <w:trPr>
          <w:trHeight w:val="18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 — __ __ __ __ 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52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Date of onset of event:   __ __ /__ __ __ /__ __ __ __ (DD/MMM/YYYY)</w:t>
            </w:r>
          </w:p>
        </w:tc>
      </w:tr>
      <w:tr>
        <w:trPr>
          <w:trHeight w:val="540" w:hRule="atLeast"/>
        </w:trPr>
        <w:tc>
          <w:tcPr>
            <w:gridSpan w:val="2"/>
            <w:tcBorders>
              <w:top w:color="000000" w:space="0" w:sz="8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Date of reporting the event (today's date):   __ __ /__ __ __ /__ __ __ __</w:t>
            </w:r>
          </w:p>
        </w:tc>
      </w:tr>
      <w:tr>
        <w:trPr>
          <w:trHeight w:val="540" w:hRule="atLeast"/>
        </w:trPr>
        <w:tc>
          <w:tcPr>
            <w:tcBorders>
              <w:bottom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color w:val="222222"/>
                <w:highlight w:val="white"/>
                <w:rtl w:val="0"/>
              </w:rPr>
              <w:t xml:space="preserve">Were all anti-TB drugs suspended due to this AE?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Yes   ☐ No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</w:pPr>
      <w:bookmarkStart w:colFirst="0" w:colLast="0" w:name="h.j2e5u96ix3jf" w:id="0"/>
      <w:bookmarkEnd w:id="0"/>
      <w:r w:rsidDel="00000000" w:rsidR="00000000" w:rsidRPr="00000000">
        <w:rPr>
          <w:rtl w:val="0"/>
        </w:rPr>
        <w:t xml:space="preserve">Use one AE form per event. Tick the box in the right column that applies to the AE being reported. </w:t>
      </w:r>
    </w:p>
    <w:tbl>
      <w:tblPr>
        <w:tblStyle w:val="Table2"/>
        <w:bidi w:val="0"/>
        <w:tblW w:w="9015.0" w:type="dxa"/>
        <w:jc w:val="left"/>
        <w:tblInd w:w="-28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85"/>
        <w:gridCol w:w="5430"/>
        <w:tblGridChange w:id="0">
          <w:tblGrid>
            <w:gridCol w:w="3585"/>
            <w:gridCol w:w="5430"/>
          </w:tblGrid>
        </w:tblGridChange>
      </w:tblGrid>
      <w:tr>
        <w:trPr>
          <w:trHeight w:val="480" w:hRule="atLeast"/>
        </w:trP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Organ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rtl w:val="0"/>
              </w:rPr>
              <w:t xml:space="preserve">Common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Adverse </w:t>
            </w:r>
            <w:r w:rsidDel="00000000" w:rsidR="00000000" w:rsidRPr="00000000">
              <w:rPr>
                <w:b w:val="1"/>
                <w:rtl w:val="0"/>
              </w:rPr>
              <w:t xml:space="preserve">E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vent</w:t>
            </w:r>
            <w:r w:rsidDel="00000000" w:rsidR="00000000" w:rsidRPr="00000000">
              <w:rPr>
                <w:b w:val="1"/>
                <w:rtl w:val="0"/>
              </w:rPr>
              <w:t xml:space="preserve">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(check </w:t>
            </w:r>
            <w:r w:rsidDel="00000000" w:rsidR="00000000" w:rsidRPr="00000000">
              <w:rPr>
                <w:b w:val="1"/>
                <w:rtl w:val="0"/>
              </w:rPr>
              <w:t xml:space="preserve">ONE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Cardiovascular disorders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Cardiac rhythm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Prolonged (corrected) QT interval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60" w:hRule="atLeast"/>
        </w:trP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Chemistry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Hypokalemia (K </w:t>
            </w:r>
            <w:r w:rsidDel="00000000" w:rsidR="00000000" w:rsidRPr="00000000">
              <w:rPr>
                <w:rFonts w:ascii="Nova Mono" w:cs="Nova Mono" w:eastAsia="Nova Mono" w:hAnsi="Nova Mono"/>
                <w:b w:val="1"/>
                <w:color w:val="000000"/>
                <w:sz w:val="24"/>
                <w:szCs w:val="24"/>
                <w:rtl w:val="0"/>
              </w:rPr>
              <w:t xml:space="preserve">≤ 3.4 mEq/L)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color w:val="000000"/>
                <w:sz w:val="24"/>
                <w:szCs w:val="24"/>
                <w:rtl w:val="0"/>
              </w:rPr>
              <w:t xml:space="preserve">☐ Hypomagnesemia (Mg ≤ 1.4 mmol/L)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Lactate (serum lactate greater than ULN)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Ear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Hearing impairment (hearing loss)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Tinnitus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Vestibular disorder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Endocrine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Hypothyroidism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Enzymes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Increased liver enzymes (ALT increased or </w:t>
            </w:r>
            <w:r w:rsidDel="00000000" w:rsidR="00000000" w:rsidRPr="00000000">
              <w:rPr>
                <w:rFonts w:ascii="Nova Mono" w:cs="Nova Mono" w:eastAsia="Nova Mono" w:hAnsi="Nova Mono"/>
                <w:b w:val="1"/>
                <w:color w:val="000000"/>
                <w:sz w:val="24"/>
                <w:szCs w:val="24"/>
                <w:rtl w:val="0"/>
              </w:rPr>
              <w:t xml:space="preserve">AST increased (≥ 1.1 x ULN)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Eye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Optic nerve disorder (optic neuritis)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Gastrointestinal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Diarrhea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Dyspepsia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Nausea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Oral discomfort/dysphagia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Pancreatitis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Vomiting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Hematology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rFonts w:ascii="Nova Mono" w:cs="Nova Mono" w:eastAsia="Nova Mono" w:hAnsi="Nova Mono"/>
                <w:b w:val="1"/>
                <w:color w:val="000000"/>
                <w:sz w:val="24"/>
                <w:szCs w:val="24"/>
                <w:rtl w:val="0"/>
              </w:rPr>
              <w:t xml:space="preserve">Absolute neutrophil count low (ANC ≤ 1500/mm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Anemia (Hb &lt; 10.5 g/dL)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Platelets decreased (&lt; 75,000/mm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vertAlign w:val="superscript"/>
                <w:rtl w:val="0"/>
              </w:rPr>
              <w:t xml:space="preserve">3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Immune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Allergic reaction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Musculoskeletal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Arthralgia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Arthritis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Myalgia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Tendinopathy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Neurological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Dysgeusia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Headache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Peripheral neuropathy (neurosensory disorder or paresthesia)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Seizure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Reproductive system and breast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Gynecomastia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Psychiatric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Anxiety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Depression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Psychosis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Suicidal ideation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Renal and urinary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b w:val="1"/>
                <w:color w:val="000000"/>
                <w:sz w:val="24"/>
                <w:szCs w:val="24"/>
                <w:rtl w:val="0"/>
              </w:rPr>
              <w:t xml:space="preserve">Acute kidney injury (acute renal failure)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Skin disorders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Mucocutaneous symptoms (includes rash)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Pruritus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Skin hypo- or hyper-pigmentation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80" w:hRule="atLeast"/>
        </w:trPr>
        <w:tc>
          <w:tcPr>
            <w:gridSpan w:val="2"/>
            <w:tcMar>
              <w:top w:w="28.0" w:type="dxa"/>
              <w:left w:w="28.0" w:type="dxa"/>
              <w:bottom w:w="28.0" w:type="dxa"/>
              <w:right w:w="28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i w:val="1"/>
                <w:sz w:val="28"/>
                <w:szCs w:val="28"/>
                <w:rtl w:val="0"/>
              </w:rPr>
              <w:t xml:space="preserve">Other adverse events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40" w:hRule="atLeast"/>
        </w:trPr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Other (enter one adverse event) if not listed in the most co</w:t>
            </w:r>
            <w:r w:rsidDel="00000000" w:rsidR="00000000" w:rsidRPr="00000000">
              <w:rPr>
                <w:i w:val="1"/>
                <w:rtl w:val="0"/>
              </w:rPr>
              <w:t xml:space="preserve">mmon </w:t>
            </w:r>
            <w:r w:rsidDel="00000000" w:rsidR="00000000" w:rsidRPr="00000000">
              <w:rPr>
                <w:i w:val="1"/>
                <w:rtl w:val="0"/>
              </w:rPr>
              <w:t xml:space="preserve">list: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28.0" w:type="dxa"/>
              <w:left w:w="28.0" w:type="dxa"/>
              <w:bottom w:w="28.0" w:type="dxa"/>
              <w:right w:w="28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_________________________________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Severity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6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085"/>
        <w:gridCol w:w="3975"/>
        <w:tblGridChange w:id="0">
          <w:tblGrid>
            <w:gridCol w:w="5085"/>
            <w:gridCol w:w="3975"/>
          </w:tblGrid>
        </w:tblGridChange>
      </w:tblGrid>
      <w:tr>
        <w:trPr>
          <w:trHeight w:val="4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Grade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☐ 1      ☐ 2      ☐ 3      ☐ 4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Related test results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bookmarkStart w:colFirst="0" w:colLast="0" w:name="h.gjdgxs" w:id="1"/>
      <w:bookmarkEnd w:id="1"/>
      <w:r w:rsidDel="00000000" w:rsidR="00000000" w:rsidRPr="00000000">
        <w:rPr>
          <w:rtl w:val="0"/>
        </w:rPr>
      </w:r>
    </w:p>
    <w:tbl>
      <w:tblPr>
        <w:tblStyle w:val="Table4"/>
        <w:bidi w:val="0"/>
        <w:tblW w:w="903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770"/>
        <w:gridCol w:w="2145"/>
        <w:gridCol w:w="3390"/>
        <w:gridCol w:w="1725"/>
        <w:tblGridChange w:id="0">
          <w:tblGrid>
            <w:gridCol w:w="1770"/>
            <w:gridCol w:w="2145"/>
            <w:gridCol w:w="3390"/>
            <w:gridCol w:w="1725"/>
          </w:tblGrid>
        </w:tblGridChange>
      </w:tblGrid>
      <w:tr>
        <w:trPr>
          <w:trHeight w:val="2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Test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99.36" w:type="dxa"/>
              <w:left w:w="99.36" w:type="dxa"/>
              <w:bottom w:w="99.36" w:type="dxa"/>
              <w:right w:w="99.36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Lab ID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Value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7"/>
        <w:tblGridChange w:id="0">
          <w:tblGrid>
            <w:gridCol w:w="9027"/>
          </w:tblGrid>
        </w:tblGridChange>
      </w:tblGrid>
      <w:tr>
        <w:trPr>
          <w:trHeight w:val="6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Nova Mono">
    <w:embedRegular w:fontKey="{00000000-0000-0000-0000-000000000000}" r:id="rId1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Adverse Event</w:t>
      <w:tab/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1"/>
          <w:color w:val="80808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1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vaMono-regular.ttf"/></Relationships>
</file>